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187C" w14:textId="4C345185" w:rsidR="00485E1C" w:rsidRDefault="00485E1C" w:rsidP="00485E1C">
      <w:pPr>
        <w:jc w:val="center"/>
        <w:rPr>
          <w:b/>
          <w:bCs/>
        </w:rPr>
      </w:pPr>
      <w:r w:rsidRPr="00485E1C">
        <w:rPr>
          <w:b/>
          <w:bCs/>
        </w:rPr>
        <w:t>QSEN Case Study</w:t>
      </w:r>
    </w:p>
    <w:p w14:paraId="6244E55B" w14:textId="4E8640C6" w:rsidR="00CA1A99" w:rsidRDefault="00CA1A99" w:rsidP="00CA1A99">
      <w:pPr>
        <w:rPr>
          <w:b/>
          <w:bCs/>
        </w:rPr>
      </w:pPr>
      <w:r>
        <w:rPr>
          <w:b/>
          <w:bCs/>
        </w:rPr>
        <w:t>INTRODUCTION/CASE SUMMARY</w:t>
      </w:r>
    </w:p>
    <w:p w14:paraId="36EF5E65" w14:textId="16513F50" w:rsidR="00CA1A99" w:rsidRDefault="00CA1A99" w:rsidP="00CA1A99">
      <w:r w:rsidRPr="00CA1A99">
        <w:t>Mr. Jones, an 85-year-old male, presented to the emergency department</w:t>
      </w:r>
      <w:r w:rsidR="00DA0914">
        <w:t xml:space="preserve"> </w:t>
      </w:r>
      <w:r w:rsidRPr="00CA1A99">
        <w:t>following a fall with a closed-head injury. He was alert, oriented, and living in an assisted living facility. His history was self-reported and incomplete. He disclosed taking blood pressure medications, baby aspirin, and “a tiny white pill.” The ED team performed a basic workup (BMP, CBC), found no acute abnormalities, and discharged him with instructions to follow up the next day. During the night, Mr. Jones became unresponsive and returned to the ED in a comatose state. Imaging and labs revealed a subdural hematoma, toxic digoxin level, and INR of 9. After contacting his daughter, the team discovered he was also taking digoxin and warfarin (Coumadin), which were not captured during the initial visit.</w:t>
      </w:r>
    </w:p>
    <w:p w14:paraId="49BBA730" w14:textId="77777777" w:rsidR="00CA1A99" w:rsidRDefault="00CA1A99" w:rsidP="00CA1A99">
      <w:pPr>
        <w:rPr>
          <w:b/>
          <w:bCs/>
        </w:rPr>
      </w:pPr>
      <w:r w:rsidRPr="00CA1A99">
        <w:rPr>
          <w:b/>
          <w:bCs/>
        </w:rPr>
        <w:t>Problem</w:t>
      </w:r>
    </w:p>
    <w:p w14:paraId="214AA933" w14:textId="33EA9750" w:rsidR="00CA1A99" w:rsidRPr="00CA1A99" w:rsidRDefault="00CA1A99" w:rsidP="00CA1A99">
      <w:pPr>
        <w:rPr>
          <w:b/>
          <w:bCs/>
        </w:rPr>
      </w:pPr>
      <w:r w:rsidRPr="00CA1A99">
        <w:t>Mr. Jones’s subdural hematoma and subsequent deterioration were directly related to incomplete medication reconciliation, missed diagnostic testing, and communication failures between the patient, assisted living facility, and healthcare team. These failures resulted in a preventable adverse event and delayed diagnosis.</w:t>
      </w:r>
    </w:p>
    <w:p w14:paraId="4F86F6C7" w14:textId="529391BF" w:rsidR="00CA1A99" w:rsidRPr="00485E1C" w:rsidRDefault="00E1674D" w:rsidP="00CA1A99">
      <w:pPr>
        <w:rPr>
          <w:b/>
          <w:bCs/>
        </w:rPr>
      </w:pPr>
      <w:r>
        <w:rPr>
          <w:b/>
          <w:bCs/>
        </w:rPr>
        <w:t>Discussion Questions</w:t>
      </w:r>
    </w:p>
    <w:p w14:paraId="70C1F74A" w14:textId="560EB57C" w:rsidR="00485E1C" w:rsidRPr="00485E1C" w:rsidRDefault="00485E1C">
      <w:pPr>
        <w:rPr>
          <w:b/>
          <w:bCs/>
        </w:rPr>
      </w:pPr>
      <w:r w:rsidRPr="00485E1C">
        <w:rPr>
          <w:b/>
          <w:bCs/>
        </w:rPr>
        <w:t>1. What were some of the major contributors to Mr. Jones’s misdiagnosis?</w:t>
      </w:r>
    </w:p>
    <w:p w14:paraId="266CF7D8" w14:textId="4086D03C" w:rsidR="00485E1C" w:rsidRDefault="00485E1C" w:rsidP="003F3193">
      <w:pPr>
        <w:spacing w:line="240" w:lineRule="auto"/>
      </w:pPr>
      <w:r>
        <w:t xml:space="preserve">-Incomplete patient medical history and medication reconciliation. The patient was a poor historian and was unable to disclose that he was taking digoxin or coumadin. </w:t>
      </w:r>
    </w:p>
    <w:p w14:paraId="217F5557" w14:textId="406002B3" w:rsidR="00485E1C" w:rsidRDefault="00485E1C" w:rsidP="003F3193">
      <w:pPr>
        <w:spacing w:line="240" w:lineRule="auto"/>
      </w:pPr>
      <w:r>
        <w:t xml:space="preserve">-Unbale to contact family for medical verification. There was no reliable contact info for the </w:t>
      </w:r>
      <w:r w:rsidR="00DA0914">
        <w:t>daughter,</w:t>
      </w:r>
      <w:r>
        <w:t xml:space="preserve"> and the hospital seemed to accept this and failed to reach out to the facility for their records. </w:t>
      </w:r>
    </w:p>
    <w:p w14:paraId="761B7690" w14:textId="30545D47" w:rsidR="00485E1C" w:rsidRDefault="00485E1C" w:rsidP="003F3193">
      <w:pPr>
        <w:spacing w:line="240" w:lineRule="auto"/>
      </w:pPr>
      <w:r>
        <w:t>-Incomplete information transfer between assisted living facility and ED team.</w:t>
      </w:r>
    </w:p>
    <w:p w14:paraId="15D22527" w14:textId="3E546A17" w:rsidR="003201FE" w:rsidRDefault="00485E1C" w:rsidP="00DA0914">
      <w:pPr>
        <w:spacing w:line="240" w:lineRule="auto"/>
      </w:pPr>
      <w:r>
        <w:t>-Lack of clinician decision making for high-risk patient. An elderly patient with a head injury of any type and an unknown/unreliable medical and medication history should have immediately triggered automatic coagulation study and CT head scan.</w:t>
      </w:r>
    </w:p>
    <w:p w14:paraId="3181007A" w14:textId="77777777" w:rsidR="00DA0914" w:rsidRDefault="00DA0914" w:rsidP="00DA0914">
      <w:pPr>
        <w:spacing w:line="240" w:lineRule="auto"/>
      </w:pPr>
    </w:p>
    <w:p w14:paraId="10B851C7" w14:textId="0C48E9F3" w:rsidR="00485E1C" w:rsidRPr="00485E1C" w:rsidRDefault="00485E1C">
      <w:pPr>
        <w:rPr>
          <w:b/>
          <w:bCs/>
        </w:rPr>
      </w:pPr>
      <w:r w:rsidRPr="00485E1C">
        <w:rPr>
          <w:b/>
          <w:bCs/>
        </w:rPr>
        <w:t>2. What were some of the safety concerns related to Mr. Jones’s care?</w:t>
      </w:r>
    </w:p>
    <w:p w14:paraId="168D780C" w14:textId="5EEF7BCE" w:rsidR="00485E1C" w:rsidRDefault="00485E1C" w:rsidP="003F3193">
      <w:pPr>
        <w:spacing w:line="240" w:lineRule="auto"/>
      </w:pPr>
      <w:r>
        <w:t xml:space="preserve">-This patient was at high risk </w:t>
      </w:r>
      <w:r w:rsidR="003201FE">
        <w:t xml:space="preserve">for hemorrhage. Discharging him back to the facility with a head injury and not confirming anticoagulation status was unsafe practice. </w:t>
      </w:r>
    </w:p>
    <w:p w14:paraId="19312FD8" w14:textId="172FCED9" w:rsidR="003201FE" w:rsidRDefault="003201FE" w:rsidP="003F3193">
      <w:pPr>
        <w:spacing w:line="240" w:lineRule="auto"/>
      </w:pPr>
      <w:r>
        <w:lastRenderedPageBreak/>
        <w:t xml:space="preserve">-The toxic digoxin level went unnoticed. When learning of the patient’s obvious cardiac history but unknown specific details, the provider should have considered the possibility of high-risk cardiac drugs this patient might be taking. </w:t>
      </w:r>
    </w:p>
    <w:p w14:paraId="2709C4BE" w14:textId="159AFF8F" w:rsidR="003201FE" w:rsidRDefault="003201FE" w:rsidP="003F3193">
      <w:pPr>
        <w:spacing w:line="240" w:lineRule="auto"/>
      </w:pPr>
      <w:r>
        <w:t xml:space="preserve">-The incomplete medication list could have led to possibly missed allergies or drug contraindications. </w:t>
      </w:r>
    </w:p>
    <w:p w14:paraId="2BFCCB2E" w14:textId="445596CF" w:rsidR="003201FE" w:rsidRDefault="003201FE" w:rsidP="003F3193">
      <w:pPr>
        <w:spacing w:line="240" w:lineRule="auto"/>
      </w:pPr>
      <w:r>
        <w:t xml:space="preserve">-An elderly patient with a head injury warrants consideration for monitoring (at minimum) and CT imaging if anticoagulated or if there is any question of it being a possibility. </w:t>
      </w:r>
    </w:p>
    <w:p w14:paraId="3D45A319" w14:textId="5EDC4B00" w:rsidR="003201FE" w:rsidRDefault="003201FE" w:rsidP="003F3193">
      <w:pPr>
        <w:spacing w:line="240" w:lineRule="auto"/>
      </w:pPr>
      <w:r>
        <w:t xml:space="preserve">-Communication failure with family or caregivers. </w:t>
      </w:r>
    </w:p>
    <w:p w14:paraId="167D58F7" w14:textId="3CFC26A8" w:rsidR="003201FE" w:rsidRDefault="003201FE" w:rsidP="00DA0914">
      <w:pPr>
        <w:spacing w:line="240" w:lineRule="auto"/>
      </w:pPr>
      <w:r>
        <w:t>-Lack of standardized protocols for elderly falls/high risk patient population.</w:t>
      </w:r>
    </w:p>
    <w:p w14:paraId="7F1B7580" w14:textId="77777777" w:rsidR="00DA0914" w:rsidRDefault="00DA0914" w:rsidP="00DA0914">
      <w:pPr>
        <w:spacing w:line="240" w:lineRule="auto"/>
      </w:pPr>
    </w:p>
    <w:p w14:paraId="01BDA3ED" w14:textId="77777777" w:rsidR="003201FE" w:rsidRPr="003201FE" w:rsidRDefault="003201FE">
      <w:pPr>
        <w:rPr>
          <w:b/>
          <w:bCs/>
        </w:rPr>
      </w:pPr>
      <w:r w:rsidRPr="003201FE">
        <w:rPr>
          <w:b/>
          <w:bCs/>
        </w:rPr>
        <w:t xml:space="preserve">3. How pertinent was the omitted information to Mr. Jones’s plan of care and his clinical outcomes? </w:t>
      </w:r>
    </w:p>
    <w:p w14:paraId="6D363DB5" w14:textId="32BB19DF" w:rsidR="003201FE" w:rsidRDefault="003201FE" w:rsidP="003F3193">
      <w:pPr>
        <w:spacing w:line="240" w:lineRule="auto"/>
      </w:pPr>
      <w:r>
        <w:t xml:space="preserve">-The omitted medications were critical. They directly </w:t>
      </w:r>
      <w:r w:rsidRPr="00F81C7F">
        <w:t>change</w:t>
      </w:r>
      <w:r w:rsidR="0046302E">
        <w:t xml:space="preserve"> standard</w:t>
      </w:r>
      <w:r w:rsidRPr="00F81C7F">
        <w:t xml:space="preserve"> diagnostic testing</w:t>
      </w:r>
      <w:r>
        <w:t xml:space="preserve"> such as an EKG, dig level, clotting factors</w:t>
      </w:r>
      <w:r w:rsidRPr="00F81C7F">
        <w:t xml:space="preserve">, monitoring, imaging, reversal strategies, and disposition. Without them, </w:t>
      </w:r>
      <w:r>
        <w:t>the c</w:t>
      </w:r>
      <w:r w:rsidRPr="00F81C7F">
        <w:t>linician made a dangerously incomplete decision.</w:t>
      </w:r>
    </w:p>
    <w:p w14:paraId="216E5F2C" w14:textId="77777777" w:rsidR="003201FE" w:rsidRPr="0046302E" w:rsidRDefault="003201FE">
      <w:pPr>
        <w:rPr>
          <w:b/>
          <w:bCs/>
        </w:rPr>
      </w:pPr>
      <w:r w:rsidRPr="0046302E">
        <w:rPr>
          <w:b/>
          <w:bCs/>
        </w:rPr>
        <w:t xml:space="preserve">How can the omitted information be integrated into an electronic health record (EHR)? </w:t>
      </w:r>
    </w:p>
    <w:p w14:paraId="762DB4D7" w14:textId="6A3BA035" w:rsidR="0046302E" w:rsidRDefault="0046302E" w:rsidP="003F3193">
      <w:pPr>
        <w:spacing w:line="240" w:lineRule="auto"/>
      </w:pPr>
      <w:r>
        <w:t xml:space="preserve">-Accurate and up to date medication list obtained. </w:t>
      </w:r>
    </w:p>
    <w:p w14:paraId="58938827" w14:textId="3DC61283" w:rsidR="0046302E" w:rsidRDefault="0046302E" w:rsidP="003F3193">
      <w:pPr>
        <w:spacing w:line="240" w:lineRule="auto"/>
      </w:pPr>
      <w:r>
        <w:t xml:space="preserve">-Mandatory med rec at every point the patient transitions care. </w:t>
      </w:r>
    </w:p>
    <w:p w14:paraId="70C96C57" w14:textId="3CDB57B6" w:rsidR="0046302E" w:rsidRDefault="0046302E" w:rsidP="003F3193">
      <w:pPr>
        <w:spacing w:line="240" w:lineRule="auto"/>
      </w:pPr>
      <w:r>
        <w:t xml:space="preserve">-Links to external sources such as pharmacy data so that the ED can better access active prescriptions when no reliable historian is available. </w:t>
      </w:r>
    </w:p>
    <w:p w14:paraId="0FA9F571" w14:textId="46CAF0B7" w:rsidR="0046302E" w:rsidRDefault="0046302E" w:rsidP="003F3193">
      <w:pPr>
        <w:spacing w:line="240" w:lineRule="auto"/>
      </w:pPr>
      <w:r>
        <w:t xml:space="preserve">-Required designated emergency contact fields that must be checked and verified at intake. </w:t>
      </w:r>
    </w:p>
    <w:p w14:paraId="6B267F26" w14:textId="643F17DD" w:rsidR="0046302E" w:rsidRDefault="0046302E" w:rsidP="003F3193">
      <w:pPr>
        <w:spacing w:line="240" w:lineRule="auto"/>
      </w:pPr>
      <w:r>
        <w:t xml:space="preserve">-Clinical decision support systems or standard protocols that recommends specific labs and imaging when high risk meds or symptoms present themselves. For </w:t>
      </w:r>
      <w:r w:rsidR="00E1674D">
        <w:t>example,</w:t>
      </w:r>
      <w:r>
        <w:t xml:space="preserve"> in this case, an elderly patient with head trauma and anticoagulation should prompt a CT head and PT/INR immediately.</w:t>
      </w:r>
    </w:p>
    <w:p w14:paraId="0AC0335C" w14:textId="634677CA" w:rsidR="00485E1C" w:rsidRDefault="003201FE">
      <w:pPr>
        <w:rPr>
          <w:b/>
          <w:bCs/>
        </w:rPr>
      </w:pPr>
      <w:r w:rsidRPr="0046302E">
        <w:rPr>
          <w:b/>
          <w:bCs/>
        </w:rPr>
        <w:t>Which meaningful use metrics should be considered?</w:t>
      </w:r>
    </w:p>
    <w:p w14:paraId="457765C7" w14:textId="424C2AF3" w:rsidR="0046302E" w:rsidRPr="0046302E" w:rsidRDefault="0046302E" w:rsidP="003F3193">
      <w:pPr>
        <w:spacing w:line="240" w:lineRule="auto"/>
      </w:pPr>
      <w:r w:rsidRPr="0046302E">
        <w:t xml:space="preserve">-med rec at </w:t>
      </w:r>
      <w:r w:rsidR="00E1674D" w:rsidRPr="0046302E">
        <w:t>every</w:t>
      </w:r>
      <w:r w:rsidRPr="0046302E">
        <w:t xml:space="preserve"> transition of care</w:t>
      </w:r>
    </w:p>
    <w:p w14:paraId="6F0F0A2D" w14:textId="274C453F" w:rsidR="0046302E" w:rsidRDefault="0046302E" w:rsidP="003F3193">
      <w:pPr>
        <w:spacing w:line="240" w:lineRule="auto"/>
      </w:pPr>
      <w:r w:rsidRPr="0046302E">
        <w:t xml:space="preserve">-clinical decision support built into charting systems available for both providers and nurses </w:t>
      </w:r>
    </w:p>
    <w:p w14:paraId="65222AF9" w14:textId="28C24021" w:rsidR="0046302E" w:rsidRDefault="0046302E" w:rsidP="003F3193">
      <w:pPr>
        <w:spacing w:line="240" w:lineRule="auto"/>
      </w:pPr>
      <w:r>
        <w:t xml:space="preserve">-timely documentation of problem </w:t>
      </w:r>
      <w:r w:rsidR="003F3193">
        <w:t>list and</w:t>
      </w:r>
      <w:r>
        <w:t xml:space="preserve"> allergies</w:t>
      </w:r>
    </w:p>
    <w:p w14:paraId="66804055" w14:textId="77777777" w:rsidR="003F3193" w:rsidRDefault="003F3193" w:rsidP="003F3193">
      <w:pPr>
        <w:spacing w:line="240" w:lineRule="auto"/>
      </w:pPr>
    </w:p>
    <w:p w14:paraId="2EAF08B5" w14:textId="598FD60F" w:rsidR="003F3193" w:rsidRDefault="003F3193" w:rsidP="003F3193">
      <w:pPr>
        <w:spacing w:line="240" w:lineRule="auto"/>
      </w:pPr>
      <w:r>
        <w:lastRenderedPageBreak/>
        <w:t xml:space="preserve">4. </w:t>
      </w:r>
      <w:r w:rsidRPr="00396491">
        <w:rPr>
          <w:b/>
          <w:bCs/>
        </w:rPr>
        <w:t>Describe how an IP, approach along with the implementation of the EHR, could have improved Mr. Jones’s care resulting in a more favorable outcome and prevent similar issues from occurring.</w:t>
      </w:r>
    </w:p>
    <w:p w14:paraId="6FA640EF" w14:textId="5CF38638" w:rsidR="00396491" w:rsidRDefault="00396491" w:rsidP="003F3193">
      <w:pPr>
        <w:spacing w:line="240" w:lineRule="auto"/>
        <w:rPr>
          <w:u w:val="single"/>
        </w:rPr>
      </w:pPr>
      <w:r w:rsidRPr="00396491">
        <w:rPr>
          <w:u w:val="single"/>
        </w:rPr>
        <w:t>Interprofessional:</w:t>
      </w:r>
    </w:p>
    <w:p w14:paraId="325D4409" w14:textId="66DB13D9" w:rsidR="00E1674D" w:rsidRPr="00396491" w:rsidRDefault="005704EE" w:rsidP="003F3193">
      <w:pPr>
        <w:spacing w:line="240" w:lineRule="auto"/>
        <w:rPr>
          <w:u w:val="single"/>
        </w:rPr>
      </w:pPr>
      <w:r>
        <w:t>Multidisciplinary healthcare teams have proven effective across many clinical settings. Core competencies for interprofessional collaboration emphasize shared values and ethics, clear role definition, effective communication, and cohesive teamwork. These teams adapt and work dynamically across diverse clinical situations and care environments (Broome &amp; Marshall, 2017).</w:t>
      </w:r>
    </w:p>
    <w:p w14:paraId="5901CEA8" w14:textId="068BC2C3" w:rsidR="00396491" w:rsidRDefault="00396491" w:rsidP="003F3193">
      <w:pPr>
        <w:spacing w:line="240" w:lineRule="auto"/>
      </w:pPr>
      <w:r>
        <w:t xml:space="preserve">Pharmacist or pharm tech involved at triage or handling med rec. This ensures a specific specialized team is committed to not only collecting accurate and complete med rec info but is also more likely to uncover high risk drug concerns or recommend additional labs or imaging as appropriate. </w:t>
      </w:r>
    </w:p>
    <w:p w14:paraId="452B2240" w14:textId="76EA3481" w:rsidR="00396491" w:rsidRDefault="00396491" w:rsidP="003F3193">
      <w:pPr>
        <w:spacing w:line="240" w:lineRule="auto"/>
      </w:pPr>
      <w:r>
        <w:t xml:space="preserve">A social worker or case management could have expedited contacting the assisted living facility to properly contact family or verify current medication list. </w:t>
      </w:r>
    </w:p>
    <w:p w14:paraId="1DB22782" w14:textId="750B2667" w:rsidR="00815D31" w:rsidRDefault="00815D31" w:rsidP="003F3193">
      <w:pPr>
        <w:spacing w:line="240" w:lineRule="auto"/>
      </w:pPr>
      <w:r w:rsidRPr="00815D31">
        <w:rPr>
          <w:u w:val="single"/>
        </w:rPr>
        <w:t>EHR</w:t>
      </w:r>
      <w:r>
        <w:t>:</w:t>
      </w:r>
    </w:p>
    <w:p w14:paraId="0037173B" w14:textId="5B96B1D7" w:rsidR="00815D31" w:rsidRDefault="00815D31" w:rsidP="003F3193">
      <w:pPr>
        <w:spacing w:line="240" w:lineRule="auto"/>
      </w:pPr>
      <w:r>
        <w:t xml:space="preserve">At triage there should be an auto generated screen requiring acknowledgement of needed med reconciliation. After information is added by nurse (or delegated pharmacy staff) then safety alert flags should pop up when providers or other nurse staff open patient profile. </w:t>
      </w:r>
    </w:p>
    <w:p w14:paraId="64001C7D" w14:textId="5F478EFF" w:rsidR="00815D31" w:rsidRDefault="00815D31" w:rsidP="003F3193">
      <w:pPr>
        <w:spacing w:line="240" w:lineRule="auto"/>
      </w:pPr>
      <w:r>
        <w:t>Example risk flags to program the system to fire for this patient: fall, &gt;60 years of age, takes blood thinner, auto fires for CT head and coag</w:t>
      </w:r>
      <w:r w:rsidR="009650DF">
        <w:t>ulation</w:t>
      </w:r>
      <w:r>
        <w:t xml:space="preserve"> studies. </w:t>
      </w:r>
    </w:p>
    <w:p w14:paraId="47C11384" w14:textId="45084D92" w:rsidR="00815D31" w:rsidRDefault="00815D31" w:rsidP="003F3193">
      <w:pPr>
        <w:spacing w:line="240" w:lineRule="auto"/>
      </w:pPr>
      <w:r>
        <w:t>Implement more interdisciplinary</w:t>
      </w:r>
      <w:r w:rsidR="009650DF">
        <w:t xml:space="preserve"> (include physician and nurse and pharmacist if possible)</w:t>
      </w:r>
      <w:r>
        <w:t xml:space="preserve"> huddle check ins so everyone is on the same page. These can still be quick and efficient while being effective.</w:t>
      </w:r>
    </w:p>
    <w:p w14:paraId="687A513E" w14:textId="102B8B54" w:rsidR="009650DF" w:rsidRDefault="009650DF" w:rsidP="003F3193">
      <w:pPr>
        <w:spacing w:line="240" w:lineRule="auto"/>
      </w:pPr>
      <w:r>
        <w:t xml:space="preserve">Benefits that could result from these actions would include hopeful earlier detection of the subdural hematoma and the toxic digoxin level. Perhaps at minimum longer in hospital monitoring time could have been suggested since the patient was undoubtedly high risk. This would have allowed the resultant emergency to occur in a safer place with faster intervention and perhaps allowed longer time to get in contact with family. </w:t>
      </w:r>
    </w:p>
    <w:p w14:paraId="40AB8E16" w14:textId="77777777" w:rsidR="009650DF" w:rsidRDefault="009650DF" w:rsidP="003F3193">
      <w:pPr>
        <w:spacing w:line="240" w:lineRule="auto"/>
      </w:pPr>
    </w:p>
    <w:p w14:paraId="32C39213" w14:textId="7D06A34A" w:rsidR="009650DF" w:rsidRPr="009650DF" w:rsidRDefault="009650DF" w:rsidP="003F3193">
      <w:pPr>
        <w:spacing w:line="240" w:lineRule="auto"/>
        <w:rPr>
          <w:b/>
          <w:bCs/>
        </w:rPr>
      </w:pPr>
      <w:r w:rsidRPr="009650DF">
        <w:rPr>
          <w:b/>
          <w:bCs/>
        </w:rPr>
        <w:t xml:space="preserve">5. </w:t>
      </w:r>
      <w:proofErr w:type="gramStart"/>
      <w:r w:rsidR="00E1674D" w:rsidRPr="009650DF">
        <w:rPr>
          <w:b/>
          <w:bCs/>
        </w:rPr>
        <w:t>In regard</w:t>
      </w:r>
      <w:r w:rsidR="00E1674D">
        <w:rPr>
          <w:b/>
          <w:bCs/>
        </w:rPr>
        <w:t xml:space="preserve"> to</w:t>
      </w:r>
      <w:proofErr w:type="gramEnd"/>
      <w:r w:rsidRPr="009650DF">
        <w:rPr>
          <w:b/>
          <w:bCs/>
        </w:rPr>
        <w:t xml:space="preserve"> the electronic health record, what are 3 recommendations to improve the quality of care provided in the ED?</w:t>
      </w:r>
    </w:p>
    <w:p w14:paraId="532E4650" w14:textId="06AD727D" w:rsidR="009650DF" w:rsidRDefault="004D6ED0" w:rsidP="003F3193">
      <w:pPr>
        <w:spacing w:line="240" w:lineRule="auto"/>
      </w:pPr>
      <w:r>
        <w:t>1. Mandatory structured medication reconciliation</w:t>
      </w:r>
    </w:p>
    <w:p w14:paraId="1F1CD081" w14:textId="77777777" w:rsidR="00DA0914" w:rsidRDefault="00E15732" w:rsidP="00DA0914">
      <w:pPr>
        <w:spacing w:line="240" w:lineRule="auto"/>
        <w:ind w:left="720"/>
      </w:pPr>
      <w:r>
        <w:t>-The EHR should automatically sync with pharmacy e-prescribing and dispensing records at intake.</w:t>
      </w:r>
    </w:p>
    <w:p w14:paraId="50F8171F" w14:textId="1EC24D51" w:rsidR="00E15732" w:rsidRDefault="00E15732" w:rsidP="00DA0914">
      <w:pPr>
        <w:spacing w:line="240" w:lineRule="auto"/>
        <w:ind w:left="720"/>
      </w:pPr>
      <w:r>
        <w:lastRenderedPageBreak/>
        <w:t xml:space="preserve">-The provider should be required to sign off on the med reconciliation before any disposition can be made. </w:t>
      </w:r>
    </w:p>
    <w:p w14:paraId="03502811" w14:textId="488A4738" w:rsidR="00133D31" w:rsidRDefault="00E15732" w:rsidP="00E15732">
      <w:pPr>
        <w:spacing w:line="240" w:lineRule="auto"/>
      </w:pPr>
      <w:r>
        <w:t>This would catch unreported but active prescriptions such as digoxin and warfarin in this case study.</w:t>
      </w:r>
    </w:p>
    <w:p w14:paraId="5DAE59BE" w14:textId="54CEEEDE" w:rsidR="00A310E6" w:rsidRDefault="00A310E6" w:rsidP="00E15732">
      <w:pPr>
        <w:spacing w:line="240" w:lineRule="auto"/>
      </w:pPr>
      <w:r>
        <w:t>2. A clinical decision support program could be added that will fire alerts and order sets for high-risk scenarios.</w:t>
      </w:r>
      <w:r w:rsidR="008F549E">
        <w:t xml:space="preserve"> A study on the pros and cons of order sets by Bobb et al. states that “o</w:t>
      </w:r>
      <w:r w:rsidR="008F549E" w:rsidRPr="008F549E">
        <w:t xml:space="preserve">rder sets provide straightforward clinical decision support within computerized provider order entry systems. They make </w:t>
      </w:r>
      <w:r w:rsidR="008F549E">
        <w:t>‘</w:t>
      </w:r>
      <w:r w:rsidR="008F549E" w:rsidRPr="008F549E">
        <w:t>the right thing</w:t>
      </w:r>
      <w:r w:rsidR="008F549E">
        <w:t>’</w:t>
      </w:r>
      <w:r w:rsidR="008F549E" w:rsidRPr="008F549E">
        <w:t xml:space="preserve"> easier to do because they are much faster than writing single orders; they deliver real-time, evidence-based prompts; they are easy to update; and they support coverage of multiple patient problems through linkages among order sets</w:t>
      </w:r>
      <w:r w:rsidR="008F549E">
        <w:t xml:space="preserve"> (Bobb, et al., 2007)</w:t>
      </w:r>
      <w:r w:rsidR="008F549E" w:rsidRPr="008F549E">
        <w:t>.</w:t>
      </w:r>
      <w:r w:rsidR="008F549E">
        <w:t>”</w:t>
      </w:r>
    </w:p>
    <w:p w14:paraId="47648372" w14:textId="452D166B" w:rsidR="00A310E6" w:rsidRDefault="00A310E6" w:rsidP="00F50268">
      <w:pPr>
        <w:spacing w:line="240" w:lineRule="auto"/>
        <w:ind w:left="720"/>
      </w:pPr>
      <w:r>
        <w:t xml:space="preserve">-For example, </w:t>
      </w:r>
      <w:r w:rsidR="005B6E06">
        <w:t>A fall patient comes in that is greater than 65 years old on anticoagulants. Auto suggested order of CT head and coagulation studies.</w:t>
      </w:r>
    </w:p>
    <w:p w14:paraId="2E636755" w14:textId="04A043A0" w:rsidR="005B6E06" w:rsidRDefault="005B6E06" w:rsidP="00F50268">
      <w:pPr>
        <w:spacing w:line="240" w:lineRule="auto"/>
        <w:ind w:firstLine="720"/>
      </w:pPr>
      <w:r>
        <w:t xml:space="preserve">-This prompts </w:t>
      </w:r>
      <w:r w:rsidR="00477037">
        <w:t>evidence-based</w:t>
      </w:r>
      <w:r>
        <w:t xml:space="preserve"> testing </w:t>
      </w:r>
      <w:r w:rsidR="00F50268">
        <w:t xml:space="preserve">even if a clinician oversight occurs. </w:t>
      </w:r>
    </w:p>
    <w:p w14:paraId="77FE287E" w14:textId="58176923" w:rsidR="00F50268" w:rsidRDefault="00F50268" w:rsidP="00F50268">
      <w:pPr>
        <w:spacing w:line="240" w:lineRule="auto"/>
      </w:pPr>
      <w:r>
        <w:t xml:space="preserve">3. </w:t>
      </w:r>
      <w:r w:rsidR="00477037">
        <w:t xml:space="preserve">Creating a visible critical patient summary screen that includes essential information able to be obtained quickly and easily. This could include next of kin with contact info, allergies, active problems, and high-risk medications. </w:t>
      </w:r>
    </w:p>
    <w:p w14:paraId="30D63253" w14:textId="638C1225" w:rsidR="00477037" w:rsidRDefault="00477037" w:rsidP="00477037">
      <w:pPr>
        <w:spacing w:line="240" w:lineRule="auto"/>
        <w:ind w:left="720"/>
      </w:pPr>
      <w:r>
        <w:t>-Rapid and easily accessible information reduces information searching time and prevents relying on memory or patient/family recall.</w:t>
      </w:r>
    </w:p>
    <w:p w14:paraId="2ABFBDBA" w14:textId="77777777" w:rsidR="00CA1A99" w:rsidRDefault="00CA1A99" w:rsidP="0038417C">
      <w:pPr>
        <w:spacing w:line="240" w:lineRule="auto"/>
        <w:rPr>
          <w:b/>
          <w:bCs/>
          <w:sz w:val="32"/>
          <w:szCs w:val="32"/>
          <w:u w:val="single"/>
        </w:rPr>
      </w:pPr>
    </w:p>
    <w:p w14:paraId="29E28AF6" w14:textId="00AACB94" w:rsidR="0038417C" w:rsidRDefault="00CA1A99" w:rsidP="0038417C">
      <w:pPr>
        <w:spacing w:line="240" w:lineRule="auto"/>
        <w:rPr>
          <w:b/>
          <w:bCs/>
        </w:rPr>
      </w:pPr>
      <w:r>
        <w:rPr>
          <w:b/>
          <w:bCs/>
        </w:rPr>
        <w:t>RCA I</w:t>
      </w:r>
      <w:r w:rsidR="0038417C" w:rsidRPr="0038417C">
        <w:rPr>
          <w:b/>
          <w:bCs/>
        </w:rPr>
        <w:t>mprovement Plan</w:t>
      </w:r>
    </w:p>
    <w:p w14:paraId="340E20C5" w14:textId="6DC7DE70" w:rsidR="0038417C" w:rsidRDefault="0038417C" w:rsidP="0038417C">
      <w:pPr>
        <w:spacing w:line="240" w:lineRule="auto"/>
      </w:pPr>
      <w:r w:rsidRPr="0038417C">
        <w:t xml:space="preserve">Develop and pilot an EHR medication reconciliation alert and </w:t>
      </w:r>
      <w:r>
        <w:t xml:space="preserve">e-pharmacy record </w:t>
      </w:r>
      <w:r w:rsidRPr="0038417C">
        <w:t>connection in the ED.</w:t>
      </w:r>
    </w:p>
    <w:p w14:paraId="654F41E0" w14:textId="77777777" w:rsidR="0038417C" w:rsidRDefault="0038417C" w:rsidP="0038417C">
      <w:pPr>
        <w:spacing w:line="240" w:lineRule="auto"/>
      </w:pPr>
      <w:r w:rsidRPr="0038417C">
        <w:t>Implement pharmacist-led reconciliation for all patients &gt;65 for 3 months.</w:t>
      </w:r>
    </w:p>
    <w:p w14:paraId="4AD0588C" w14:textId="4130ADAE" w:rsidR="0038417C" w:rsidRPr="0038417C" w:rsidRDefault="0038417C" w:rsidP="0038417C">
      <w:pPr>
        <w:spacing w:line="240" w:lineRule="auto"/>
      </w:pPr>
      <w:r w:rsidRPr="0038417C">
        <w:t>Measure rates of reconciliation completion</w:t>
      </w:r>
      <w:r>
        <w:t xml:space="preserve"> </w:t>
      </w:r>
      <w:r w:rsidRPr="0038417C">
        <w:t>and medication error incidence.</w:t>
      </w:r>
    </w:p>
    <w:p w14:paraId="0F40EC41" w14:textId="66562927" w:rsidR="0038417C" w:rsidRDefault="0038417C" w:rsidP="0038417C">
      <w:pPr>
        <w:spacing w:line="240" w:lineRule="auto"/>
      </w:pPr>
      <w:r w:rsidRPr="0038417C">
        <w:t>Adjust workflows, update policies, and scale successful interventions hospital wide.</w:t>
      </w:r>
    </w:p>
    <w:p w14:paraId="7C6CC785" w14:textId="77777777" w:rsidR="0038417C" w:rsidRDefault="0038417C" w:rsidP="0038417C">
      <w:pPr>
        <w:spacing w:line="240" w:lineRule="auto"/>
        <w:rPr>
          <w:b/>
          <w:bCs/>
        </w:rPr>
      </w:pPr>
      <w:r w:rsidRPr="0038417C">
        <w:rPr>
          <w:b/>
          <w:bCs/>
        </w:rPr>
        <w:t xml:space="preserve">Expected Outcomes </w:t>
      </w:r>
    </w:p>
    <w:p w14:paraId="48638398" w14:textId="77777777" w:rsidR="0038417C" w:rsidRDefault="0038417C" w:rsidP="0038417C">
      <w:pPr>
        <w:spacing w:line="240" w:lineRule="auto"/>
        <w:rPr>
          <w:b/>
          <w:bCs/>
        </w:rPr>
      </w:pPr>
      <w:r w:rsidRPr="0038417C">
        <w:t>100% medication reconciliation completion for all ED admissions/discharges.</w:t>
      </w:r>
    </w:p>
    <w:p w14:paraId="214AD9AA" w14:textId="77777777" w:rsidR="0038417C" w:rsidRDefault="0038417C" w:rsidP="0038417C">
      <w:pPr>
        <w:spacing w:line="240" w:lineRule="auto"/>
        <w:rPr>
          <w:b/>
          <w:bCs/>
        </w:rPr>
      </w:pPr>
      <w:r w:rsidRPr="0038417C">
        <w:t>Reduction in medication-related adverse events and preventable hospital readmissions.</w:t>
      </w:r>
    </w:p>
    <w:p w14:paraId="05E77FFB" w14:textId="77777777" w:rsidR="0038417C" w:rsidRDefault="0038417C" w:rsidP="0038417C">
      <w:pPr>
        <w:spacing w:line="240" w:lineRule="auto"/>
        <w:rPr>
          <w:b/>
          <w:bCs/>
        </w:rPr>
      </w:pPr>
      <w:r w:rsidRPr="0038417C">
        <w:t>Improved interdisciplinary communication and family involvement.</w:t>
      </w:r>
    </w:p>
    <w:p w14:paraId="707B4BD2" w14:textId="1275B415" w:rsidR="00CA1A99" w:rsidRDefault="0038417C" w:rsidP="0038417C">
      <w:pPr>
        <w:spacing w:line="240" w:lineRule="auto"/>
      </w:pPr>
      <w:r w:rsidRPr="0038417C">
        <w:t>Enhanced safety culture and trust in the ED.</w:t>
      </w:r>
    </w:p>
    <w:p w14:paraId="18FA4940" w14:textId="77777777" w:rsidR="008F549E" w:rsidRDefault="008F549E" w:rsidP="0038417C">
      <w:pPr>
        <w:spacing w:line="240" w:lineRule="auto"/>
      </w:pPr>
    </w:p>
    <w:p w14:paraId="20F2D2B6" w14:textId="77777777" w:rsidR="008F549E" w:rsidRDefault="008F549E" w:rsidP="0038417C">
      <w:pPr>
        <w:spacing w:line="240" w:lineRule="auto"/>
      </w:pPr>
    </w:p>
    <w:p w14:paraId="6008678E" w14:textId="4B6FC155" w:rsidR="00CA1A99" w:rsidRPr="00CA1A99" w:rsidRDefault="00CA1A99" w:rsidP="00CA1A99">
      <w:pPr>
        <w:spacing w:line="240" w:lineRule="auto"/>
        <w:rPr>
          <w:b/>
          <w:bCs/>
        </w:rPr>
      </w:pPr>
      <w:r w:rsidRPr="00CA1A99">
        <w:rPr>
          <w:b/>
          <w:bCs/>
        </w:rPr>
        <w:lastRenderedPageBreak/>
        <w:t>Conclusion</w:t>
      </w:r>
    </w:p>
    <w:p w14:paraId="3DF144BC" w14:textId="77777777" w:rsidR="00DA0914" w:rsidRDefault="00CA1A99" w:rsidP="00E15732">
      <w:pPr>
        <w:spacing w:line="240" w:lineRule="auto"/>
      </w:pPr>
      <w:r w:rsidRPr="00CA1A99">
        <w:t>Mr. Jones’s case underscores the vital role of informatics, communication, and teamwork in patient safety. The lack of complete and data</w:t>
      </w:r>
      <w:r>
        <w:t xml:space="preserve"> </w:t>
      </w:r>
      <w:r w:rsidRPr="00CA1A99">
        <w:t>along with insufficient interdisciplinary collaboration led to a preventable adverse outcome. Through targeted EHR enhancements, standardized communication, and robust quality improvement efforts, similar events can be prevented, and the ED can deliver safer, patient-centered care.</w:t>
      </w:r>
    </w:p>
    <w:p w14:paraId="425AE762" w14:textId="77777777" w:rsidR="008F549E" w:rsidRDefault="008F549E" w:rsidP="00E15732">
      <w:pPr>
        <w:spacing w:line="240" w:lineRule="auto"/>
      </w:pPr>
    </w:p>
    <w:p w14:paraId="2C8F88C0" w14:textId="1B7DA35F" w:rsidR="00477037" w:rsidRDefault="005704EE" w:rsidP="00E15732">
      <w:pPr>
        <w:spacing w:line="240" w:lineRule="auto"/>
        <w:rPr>
          <w:b/>
          <w:bCs/>
        </w:rPr>
      </w:pPr>
      <w:r w:rsidRPr="005704EE">
        <w:rPr>
          <w:b/>
          <w:bCs/>
        </w:rPr>
        <w:t>Reference</w:t>
      </w:r>
    </w:p>
    <w:p w14:paraId="7867770B" w14:textId="1AE48BEC" w:rsidR="008F549E" w:rsidRPr="00DA0914" w:rsidRDefault="008F549E" w:rsidP="008F549E">
      <w:pPr>
        <w:spacing w:line="240" w:lineRule="auto"/>
        <w:ind w:left="720" w:hanging="720"/>
      </w:pPr>
      <w:r w:rsidRPr="008F549E">
        <w:t>Bobb, A. M., Payne, T. H., &amp; Gross, P. A. (2007). Viewpoint: controversies surrounding use of order sets for clinical decision support in computerized provider order entry. </w:t>
      </w:r>
      <w:r w:rsidRPr="008F549E">
        <w:rPr>
          <w:i/>
          <w:iCs/>
        </w:rPr>
        <w:t xml:space="preserve">Journal of the American Medical Informatics </w:t>
      </w:r>
      <w:r w:rsidRPr="008F549E">
        <w:rPr>
          <w:i/>
          <w:iCs/>
        </w:rPr>
        <w:t>Association:</w:t>
      </w:r>
      <w:r w:rsidRPr="008F549E">
        <w:rPr>
          <w:i/>
          <w:iCs/>
        </w:rPr>
        <w:t xml:space="preserve"> JAMIA</w:t>
      </w:r>
      <w:r w:rsidRPr="008F549E">
        <w:t>, </w:t>
      </w:r>
      <w:r w:rsidRPr="008F549E">
        <w:rPr>
          <w:i/>
          <w:iCs/>
        </w:rPr>
        <w:t>14</w:t>
      </w:r>
      <w:r w:rsidRPr="008F549E">
        <w:t>(1), 41–47. https://doi.org/10.1197/jamia.M2184</w:t>
      </w:r>
    </w:p>
    <w:p w14:paraId="47EF76F5" w14:textId="1258BEA6" w:rsidR="005704EE" w:rsidRPr="005704EE" w:rsidRDefault="005704EE" w:rsidP="005704EE">
      <w:pPr>
        <w:spacing w:line="240" w:lineRule="auto"/>
        <w:ind w:left="720" w:hanging="720"/>
      </w:pPr>
      <w:r w:rsidRPr="005704EE">
        <w:t xml:space="preserve">Broome, M., &amp; Marshall, E. S. (2017). </w:t>
      </w:r>
      <w:r w:rsidRPr="005704EE">
        <w:rPr>
          <w:i/>
          <w:iCs/>
        </w:rPr>
        <w:t>Transformational leadership in nursing, Second edition: From expert clinician to influential leader</w:t>
      </w:r>
      <w:r w:rsidRPr="005704EE">
        <w:t xml:space="preserve">. Springer Publishing Company. </w:t>
      </w:r>
      <w:r>
        <w:t>p.65</w:t>
      </w:r>
    </w:p>
    <w:p w14:paraId="57D4053E" w14:textId="77777777" w:rsidR="005704EE" w:rsidRPr="005704EE" w:rsidRDefault="005704EE" w:rsidP="00E15732">
      <w:pPr>
        <w:spacing w:line="240" w:lineRule="auto"/>
        <w:rPr>
          <w:b/>
          <w:bCs/>
        </w:rPr>
      </w:pPr>
    </w:p>
    <w:sectPr w:rsidR="005704EE" w:rsidRPr="00570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42B0A"/>
    <w:multiLevelType w:val="multilevel"/>
    <w:tmpl w:val="91FE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628F5"/>
    <w:multiLevelType w:val="multilevel"/>
    <w:tmpl w:val="DDD2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362546">
    <w:abstractNumId w:val="0"/>
  </w:num>
  <w:num w:numId="2" w16cid:durableId="597565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1C"/>
    <w:rsid w:val="00133D31"/>
    <w:rsid w:val="001B44D8"/>
    <w:rsid w:val="003201FE"/>
    <w:rsid w:val="0038417C"/>
    <w:rsid w:val="00396491"/>
    <w:rsid w:val="003F3193"/>
    <w:rsid w:val="00400357"/>
    <w:rsid w:val="0046302E"/>
    <w:rsid w:val="00477037"/>
    <w:rsid w:val="00485E1C"/>
    <w:rsid w:val="004D6ED0"/>
    <w:rsid w:val="005704EE"/>
    <w:rsid w:val="005B6E06"/>
    <w:rsid w:val="00815D31"/>
    <w:rsid w:val="008F549E"/>
    <w:rsid w:val="009650DF"/>
    <w:rsid w:val="00A310E6"/>
    <w:rsid w:val="00CA1A99"/>
    <w:rsid w:val="00DA0914"/>
    <w:rsid w:val="00E15732"/>
    <w:rsid w:val="00E1674D"/>
    <w:rsid w:val="00F5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CE00"/>
  <w15:chartTrackingRefBased/>
  <w15:docId w15:val="{0C177300-AD4A-AD4A-ABE5-C9732A7E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E1C"/>
    <w:rPr>
      <w:rFonts w:eastAsiaTheme="majorEastAsia" w:cstheme="majorBidi"/>
      <w:color w:val="272727" w:themeColor="text1" w:themeTint="D8"/>
    </w:rPr>
  </w:style>
  <w:style w:type="paragraph" w:styleId="Title">
    <w:name w:val="Title"/>
    <w:basedOn w:val="Normal"/>
    <w:next w:val="Normal"/>
    <w:link w:val="TitleChar"/>
    <w:uiPriority w:val="10"/>
    <w:qFormat/>
    <w:rsid w:val="00485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E1C"/>
    <w:pPr>
      <w:spacing w:before="160"/>
      <w:jc w:val="center"/>
    </w:pPr>
    <w:rPr>
      <w:i/>
      <w:iCs/>
      <w:color w:val="404040" w:themeColor="text1" w:themeTint="BF"/>
    </w:rPr>
  </w:style>
  <w:style w:type="character" w:customStyle="1" w:styleId="QuoteChar">
    <w:name w:val="Quote Char"/>
    <w:basedOn w:val="DefaultParagraphFont"/>
    <w:link w:val="Quote"/>
    <w:uiPriority w:val="29"/>
    <w:rsid w:val="00485E1C"/>
    <w:rPr>
      <w:i/>
      <w:iCs/>
      <w:color w:val="404040" w:themeColor="text1" w:themeTint="BF"/>
    </w:rPr>
  </w:style>
  <w:style w:type="paragraph" w:styleId="ListParagraph">
    <w:name w:val="List Paragraph"/>
    <w:basedOn w:val="Normal"/>
    <w:uiPriority w:val="34"/>
    <w:qFormat/>
    <w:rsid w:val="00485E1C"/>
    <w:pPr>
      <w:ind w:left="720"/>
      <w:contextualSpacing/>
    </w:pPr>
  </w:style>
  <w:style w:type="character" w:styleId="IntenseEmphasis">
    <w:name w:val="Intense Emphasis"/>
    <w:basedOn w:val="DefaultParagraphFont"/>
    <w:uiPriority w:val="21"/>
    <w:qFormat/>
    <w:rsid w:val="00485E1C"/>
    <w:rPr>
      <w:i/>
      <w:iCs/>
      <w:color w:val="0F4761" w:themeColor="accent1" w:themeShade="BF"/>
    </w:rPr>
  </w:style>
  <w:style w:type="paragraph" w:styleId="IntenseQuote">
    <w:name w:val="Intense Quote"/>
    <w:basedOn w:val="Normal"/>
    <w:next w:val="Normal"/>
    <w:link w:val="IntenseQuoteChar"/>
    <w:uiPriority w:val="30"/>
    <w:qFormat/>
    <w:rsid w:val="00485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E1C"/>
    <w:rPr>
      <w:i/>
      <w:iCs/>
      <w:color w:val="0F4761" w:themeColor="accent1" w:themeShade="BF"/>
    </w:rPr>
  </w:style>
  <w:style w:type="character" w:styleId="IntenseReference">
    <w:name w:val="Intense Reference"/>
    <w:basedOn w:val="DefaultParagraphFont"/>
    <w:uiPriority w:val="32"/>
    <w:qFormat/>
    <w:rsid w:val="00485E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Gordon</dc:creator>
  <cp:keywords/>
  <dc:description/>
  <cp:lastModifiedBy>Kristen Gordon</cp:lastModifiedBy>
  <cp:revision>5</cp:revision>
  <dcterms:created xsi:type="dcterms:W3CDTF">2025-10-30T01:13:00Z</dcterms:created>
  <dcterms:modified xsi:type="dcterms:W3CDTF">2025-10-30T18:24:00Z</dcterms:modified>
</cp:coreProperties>
</file>